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73FEC" w14:textId="3754D4CF" w:rsidR="00D57593" w:rsidRPr="00D57593" w:rsidRDefault="00D57593" w:rsidP="00D57593">
      <w:pPr>
        <w:spacing w:before="300" w:afterLines="60" w:after="144" w:line="276" w:lineRule="auto"/>
        <w:outlineLvl w:val="0"/>
        <w:rPr>
          <w:rFonts w:ascii="Corbel" w:eastAsia="Times New Roman" w:hAnsi="Corbel" w:cs="Times New Roman"/>
          <w:smallCaps/>
          <w:spacing w:val="5"/>
          <w:sz w:val="32"/>
          <w:szCs w:val="32"/>
          <w:lang w:val="x-none" w:eastAsia="x-none"/>
        </w:rPr>
      </w:pPr>
      <w:r w:rsidRPr="00D57593">
        <w:rPr>
          <w:rFonts w:ascii="Corbel" w:eastAsia="Times New Roman" w:hAnsi="Corbel" w:cs="Times New Roman"/>
          <w:smallCaps/>
          <w:noProof/>
          <w:spacing w:val="5"/>
          <w:sz w:val="32"/>
          <w:szCs w:val="32"/>
        </w:rPr>
        <w:drawing>
          <wp:inline distT="0" distB="0" distL="0" distR="0" wp14:anchorId="657D2EEF" wp14:editId="0E7E647D">
            <wp:extent cx="208280" cy="243205"/>
            <wp:effectExtent l="0" t="0" r="0" b="10795"/>
            <wp:docPr id="3" name="Picture 1" descr="clock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-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593">
        <w:rPr>
          <w:rFonts w:ascii="Corbel" w:eastAsia="Times New Roman" w:hAnsi="Corbel" w:cs="Times New Roman"/>
          <w:smallCaps/>
          <w:spacing w:val="5"/>
          <w:sz w:val="32"/>
          <w:szCs w:val="32"/>
          <w:lang w:val="x-none" w:eastAsia="x-none"/>
        </w:rPr>
        <w:t xml:space="preserve">  </w:t>
      </w:r>
      <w:r w:rsidR="00B131C6">
        <w:rPr>
          <w:rFonts w:ascii="Corbel" w:eastAsia="Times New Roman" w:hAnsi="Corbel" w:cs="Times New Roman"/>
          <w:smallCaps/>
          <w:spacing w:val="5"/>
          <w:sz w:val="32"/>
          <w:szCs w:val="32"/>
          <w:lang w:eastAsia="x-none"/>
        </w:rPr>
        <w:t>120</w:t>
      </w:r>
      <w:r w:rsidRPr="00D57593">
        <w:rPr>
          <w:rFonts w:ascii="Corbel" w:eastAsia="Times New Roman" w:hAnsi="Corbel" w:cs="Times New Roman"/>
          <w:smallCaps/>
          <w:spacing w:val="5"/>
          <w:sz w:val="32"/>
          <w:szCs w:val="32"/>
          <w:lang w:val="x-none" w:eastAsia="x-none"/>
        </w:rPr>
        <w:t xml:space="preserve"> minutes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shd w:val="clear" w:color="auto" w:fill="92D050"/>
        <w:tblLook w:val="00A0" w:firstRow="1" w:lastRow="0" w:firstColumn="1" w:lastColumn="0" w:noHBand="0" w:noVBand="0"/>
      </w:tblPr>
      <w:tblGrid>
        <w:gridCol w:w="915"/>
        <w:gridCol w:w="3150"/>
        <w:gridCol w:w="3500"/>
        <w:gridCol w:w="1455"/>
      </w:tblGrid>
      <w:tr w:rsidR="00D57593" w:rsidRPr="008B630C" w14:paraId="2FE5CABE" w14:textId="77777777" w:rsidTr="00227830">
        <w:trPr>
          <w:trHeight w:val="341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281BFC87" w14:textId="77777777" w:rsidR="00D57593" w:rsidRPr="00F92BC1" w:rsidRDefault="00D57593" w:rsidP="00227830">
            <w:pPr>
              <w:rPr>
                <w:rStyle w:val="IntenseEmphasis"/>
              </w:rPr>
            </w:pPr>
            <w:r w:rsidRPr="00F92BC1">
              <w:rPr>
                <w:rStyle w:val="IntenseEmphasis"/>
              </w:rPr>
              <w:t>Activity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54B39EEF" w14:textId="77777777" w:rsidR="00D57593" w:rsidRPr="00F92BC1" w:rsidRDefault="00D57593" w:rsidP="00227830">
            <w:pPr>
              <w:rPr>
                <w:rStyle w:val="IntenseEmphasis"/>
              </w:rPr>
            </w:pPr>
            <w:r w:rsidRPr="00F92BC1">
              <w:rPr>
                <w:rStyle w:val="IntenseEmphasis"/>
              </w:rPr>
              <w:t>Topic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09E51324" w14:textId="77777777" w:rsidR="00D57593" w:rsidRPr="00F92BC1" w:rsidRDefault="00D57593" w:rsidP="00227830">
            <w:pPr>
              <w:rPr>
                <w:rStyle w:val="IntenseEmphasis"/>
              </w:rPr>
            </w:pPr>
            <w:r w:rsidRPr="00F92BC1">
              <w:rPr>
                <w:rStyle w:val="IntenseEmphasis"/>
              </w:rPr>
              <w:t>Method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341BF72A" w14:textId="77777777" w:rsidR="00D57593" w:rsidRPr="00F92BC1" w:rsidRDefault="00D57593" w:rsidP="00227830">
            <w:pPr>
              <w:rPr>
                <w:rStyle w:val="IntenseEmphasis"/>
              </w:rPr>
            </w:pPr>
            <w:r w:rsidRPr="00F92BC1">
              <w:rPr>
                <w:rStyle w:val="IntenseEmphasis"/>
              </w:rPr>
              <w:t>Timing</w:t>
            </w:r>
          </w:p>
        </w:tc>
      </w:tr>
      <w:tr w:rsidR="00D57593" w:rsidRPr="00F92BC1" w14:paraId="15E44BD1" w14:textId="77777777" w:rsidTr="00227830">
        <w:trPr>
          <w:trHeight w:val="521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1D9FB59D" w14:textId="77777777" w:rsidR="00D57593" w:rsidRPr="00F92BC1" w:rsidRDefault="00D57593" w:rsidP="00227830">
            <w:pPr>
              <w:spacing w:before="40"/>
              <w:rPr>
                <w:rStyle w:val="IntenseEmphasis"/>
              </w:rPr>
            </w:pPr>
            <w:r w:rsidRPr="00F92BC1">
              <w:rPr>
                <w:rStyle w:val="IntenseEmphasis"/>
              </w:rPr>
              <w:t>1</w:t>
            </w:r>
            <w:r>
              <w:rPr>
                <w:rStyle w:val="IntenseEmphasis"/>
              </w:rPr>
              <w:t xml:space="preserve">  </w:t>
            </w:r>
          </w:p>
        </w:tc>
        <w:tc>
          <w:tcPr>
            <w:tcW w:w="31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92D050"/>
          </w:tcPr>
          <w:p w14:paraId="130712AB" w14:textId="77777777" w:rsidR="00D57593" w:rsidRPr="00F92BC1" w:rsidRDefault="00D57593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Sex and Gender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1163DA4E" w14:textId="77777777" w:rsidR="00D57593" w:rsidRPr="00F92BC1" w:rsidRDefault="00D57593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Groups</w:t>
            </w:r>
          </w:p>
        </w:tc>
        <w:tc>
          <w:tcPr>
            <w:tcW w:w="14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92D050"/>
          </w:tcPr>
          <w:p w14:paraId="3EBA8DF2" w14:textId="77777777" w:rsidR="00D57593" w:rsidRPr="00F92BC1" w:rsidRDefault="00D57593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20’</w:t>
            </w:r>
          </w:p>
        </w:tc>
      </w:tr>
      <w:tr w:rsidR="00D57593" w:rsidRPr="00F92BC1" w14:paraId="6D98433A" w14:textId="77777777" w:rsidTr="00227830">
        <w:trPr>
          <w:trHeight w:val="440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723D4EAA" w14:textId="77777777" w:rsidR="00D57593" w:rsidRPr="00F92BC1" w:rsidRDefault="00D57593" w:rsidP="00227830">
            <w:pPr>
              <w:spacing w:before="40"/>
              <w:rPr>
                <w:rStyle w:val="IntenseEmphasis"/>
              </w:rPr>
            </w:pPr>
            <w:r w:rsidRPr="00F92BC1">
              <w:rPr>
                <w:rStyle w:val="IntenseEmphasis"/>
              </w:rPr>
              <w:t>2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34FFC360" w14:textId="77777777" w:rsidR="00D57593" w:rsidRPr="00F92BC1" w:rsidDel="007F205C" w:rsidRDefault="00D57593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Understanding GBV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52F6F7D7" w14:textId="77777777" w:rsidR="00D57593" w:rsidRPr="00F92BC1" w:rsidDel="007F205C" w:rsidRDefault="00D57593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Groups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678ED542" w14:textId="77777777" w:rsidR="00D57593" w:rsidRPr="00F92BC1" w:rsidDel="000A5164" w:rsidRDefault="00D57593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45’</w:t>
            </w:r>
          </w:p>
        </w:tc>
      </w:tr>
      <w:tr w:rsidR="00D57593" w:rsidRPr="00F92BC1" w14:paraId="7F02FD05" w14:textId="77777777" w:rsidTr="00227830">
        <w:trPr>
          <w:trHeight w:val="440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05580AC0" w14:textId="77777777" w:rsidR="00D57593" w:rsidRPr="00F92BC1" w:rsidRDefault="00D57593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3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1DA112D6" w14:textId="77777777" w:rsidR="00D57593" w:rsidRDefault="00D57593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GBV in Emergencies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475C603A" w14:textId="77777777" w:rsidR="00D57593" w:rsidRDefault="00D57593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Plenary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3DE46BA9" w14:textId="77777777" w:rsidR="00D57593" w:rsidRDefault="00D57593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15’</w:t>
            </w:r>
          </w:p>
        </w:tc>
      </w:tr>
      <w:tr w:rsidR="00D57593" w:rsidRPr="00F92BC1" w14:paraId="57279AD2" w14:textId="77777777" w:rsidTr="00227830">
        <w:trPr>
          <w:trHeight w:val="440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30B1A5B9" w14:textId="77777777" w:rsidR="00D57593" w:rsidRPr="00F92BC1" w:rsidRDefault="00F76811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4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2A2F7C41" w14:textId="77777777" w:rsidR="00D57593" w:rsidRDefault="00F76811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Responsibilities of DTM Enumerators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7ABE9F7A" w14:textId="77777777" w:rsidR="00D57593" w:rsidRDefault="00F76811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Plenary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7DF911AA" w14:textId="77777777" w:rsidR="00D57593" w:rsidRDefault="00F76811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15’</w:t>
            </w:r>
          </w:p>
        </w:tc>
      </w:tr>
      <w:tr w:rsidR="00F76811" w:rsidRPr="00F92BC1" w14:paraId="52CCAF46" w14:textId="77777777" w:rsidTr="00227830">
        <w:trPr>
          <w:trHeight w:val="440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256B5211" w14:textId="77777777" w:rsidR="00F76811" w:rsidRDefault="00F76811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5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21381F9C" w14:textId="2472038B" w:rsidR="00F76811" w:rsidRDefault="00B131C6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Referral Pathways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01215774" w14:textId="44FEA4D1" w:rsidR="00F76811" w:rsidRDefault="00B131C6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Plenary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77249DF5" w14:textId="1ECEC5A3" w:rsidR="00F76811" w:rsidRDefault="00B131C6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10’</w:t>
            </w:r>
          </w:p>
        </w:tc>
      </w:tr>
      <w:tr w:rsidR="00F76811" w:rsidRPr="00F92BC1" w14:paraId="1432276A" w14:textId="77777777" w:rsidTr="00227830">
        <w:trPr>
          <w:trHeight w:val="440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116CEBC5" w14:textId="77777777" w:rsidR="00F76811" w:rsidRDefault="00F76811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6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1A9DA828" w14:textId="7D80CA1D" w:rsidR="00F76811" w:rsidRDefault="00B131C6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Scenarios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2D48B3DD" w14:textId="50D6BAD0" w:rsidR="00F76811" w:rsidRDefault="00B131C6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Plenary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14:paraId="5928FB00" w14:textId="47FDFCFA" w:rsidR="00F76811" w:rsidRDefault="00B131C6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15’</w:t>
            </w:r>
          </w:p>
        </w:tc>
      </w:tr>
    </w:tbl>
    <w:p w14:paraId="60ACB434" w14:textId="77777777" w:rsidR="00D57593" w:rsidRDefault="00D57593" w:rsidP="00D57593"/>
    <w:p w14:paraId="5C8A226E" w14:textId="77777777" w:rsidR="00323B5A" w:rsidRPr="00D57593" w:rsidRDefault="00323B5A" w:rsidP="00D57593">
      <w:pPr>
        <w:pStyle w:val="Heading1"/>
        <w:keepNext w:val="0"/>
        <w:keepLines w:val="0"/>
        <w:spacing w:before="300" w:afterLines="60" w:after="144" w:line="276" w:lineRule="auto"/>
        <w:rPr>
          <w:rFonts w:ascii="Corbel" w:eastAsia="Times New Roman" w:hAnsi="Corbel" w:cs="Times New Roman"/>
          <w:smallCaps/>
          <w:color w:val="auto"/>
          <w:spacing w:val="5"/>
          <w:lang w:eastAsia="x-none"/>
        </w:rPr>
      </w:pPr>
      <w:r w:rsidRPr="00D57593">
        <w:rPr>
          <w:rFonts w:ascii="Corbel" w:eastAsia="Times New Roman" w:hAnsi="Corbel" w:cs="Times New Roman"/>
          <w:smallCaps/>
          <w:color w:val="auto"/>
          <w:spacing w:val="5"/>
          <w:lang w:val="x-none" w:eastAsia="x-none"/>
        </w:rPr>
        <w:t>H</w:t>
      </w:r>
      <w:r w:rsidR="00D57593">
        <w:rPr>
          <w:rFonts w:ascii="Corbel" w:eastAsia="Times New Roman" w:hAnsi="Corbel" w:cs="Times New Roman"/>
          <w:smallCaps/>
          <w:color w:val="auto"/>
          <w:spacing w:val="5"/>
          <w:lang w:eastAsia="x-none"/>
        </w:rPr>
        <w:t>andouts</w:t>
      </w:r>
    </w:p>
    <w:p w14:paraId="3A57B33F" w14:textId="77777777" w:rsidR="004101D0" w:rsidRPr="004101D0" w:rsidRDefault="004101D0" w:rsidP="004B747B">
      <w:pPr>
        <w:pStyle w:val="ListParagraph"/>
        <w:numPr>
          <w:ilvl w:val="0"/>
          <w:numId w:val="15"/>
        </w:numPr>
      </w:pPr>
      <w:r>
        <w:t>Copies of site assessment form</w:t>
      </w:r>
      <w:r w:rsidR="004B747B">
        <w:t xml:space="preserve"> </w:t>
      </w:r>
      <w:r w:rsidR="00B3225C">
        <w:t>(the one used by the mission)</w:t>
      </w:r>
    </w:p>
    <w:p w14:paraId="51845732" w14:textId="77777777" w:rsidR="00323B5A" w:rsidRPr="00D57593" w:rsidRDefault="00D57593" w:rsidP="00D57593">
      <w:pPr>
        <w:pStyle w:val="Heading1"/>
        <w:keepNext w:val="0"/>
        <w:keepLines w:val="0"/>
        <w:spacing w:before="300" w:afterLines="60" w:after="144" w:line="276" w:lineRule="auto"/>
        <w:rPr>
          <w:rFonts w:ascii="Corbel" w:eastAsia="Times New Roman" w:hAnsi="Corbel" w:cs="Times New Roman"/>
          <w:smallCaps/>
          <w:color w:val="auto"/>
          <w:spacing w:val="5"/>
          <w:lang w:eastAsia="x-none"/>
        </w:rPr>
      </w:pPr>
      <w:r>
        <w:rPr>
          <w:rFonts w:ascii="Corbel" w:eastAsia="Times New Roman" w:hAnsi="Corbel" w:cs="Times New Roman"/>
          <w:smallCaps/>
          <w:color w:val="auto"/>
          <w:spacing w:val="5"/>
          <w:lang w:eastAsia="x-none"/>
        </w:rPr>
        <w:t>Key Resource Documents</w:t>
      </w:r>
    </w:p>
    <w:p w14:paraId="5D11F4CD" w14:textId="77777777" w:rsidR="00344EA6" w:rsidRPr="00344EA6" w:rsidRDefault="00344EA6" w:rsidP="004B747B">
      <w:pPr>
        <w:pStyle w:val="ListParagraph"/>
        <w:numPr>
          <w:ilvl w:val="0"/>
          <w:numId w:val="14"/>
        </w:numPr>
      </w:pPr>
      <w:r>
        <w:t>Guidelines for Integrating GBV Interventions in Humanitarian action (</w:t>
      </w:r>
      <w:hyperlink r:id="rId8" w:history="1">
        <w:r w:rsidRPr="00217DE7">
          <w:rPr>
            <w:rStyle w:val="Hyperlink"/>
          </w:rPr>
          <w:t>https://gbvguidelines.org/wp/wp-content/uploads/2016/10/2015_IASC_Gender-based_Violence_Guidelines_full-res.pdf</w:t>
        </w:r>
      </w:hyperlink>
      <w:r>
        <w:t xml:space="preserve">) </w:t>
      </w:r>
    </w:p>
    <w:p w14:paraId="14E93BEF" w14:textId="77777777" w:rsidR="00323B5A" w:rsidRPr="00D57593" w:rsidRDefault="00323B5A" w:rsidP="00D57593">
      <w:pPr>
        <w:pStyle w:val="Heading1"/>
        <w:keepNext w:val="0"/>
        <w:keepLines w:val="0"/>
        <w:spacing w:before="300" w:afterLines="60" w:after="144" w:line="276" w:lineRule="auto"/>
        <w:rPr>
          <w:rFonts w:ascii="Corbel" w:eastAsia="Times New Roman" w:hAnsi="Corbel" w:cs="Times New Roman"/>
          <w:smallCaps/>
          <w:color w:val="auto"/>
          <w:spacing w:val="5"/>
          <w:lang w:eastAsia="x-none"/>
        </w:rPr>
      </w:pPr>
      <w:r w:rsidRPr="00D57593">
        <w:rPr>
          <w:rFonts w:ascii="Corbel" w:eastAsia="Times New Roman" w:hAnsi="Corbel" w:cs="Times New Roman"/>
          <w:smallCaps/>
          <w:color w:val="auto"/>
          <w:spacing w:val="5"/>
          <w:lang w:eastAsia="x-none"/>
        </w:rPr>
        <w:t>Supplies Needed</w:t>
      </w:r>
    </w:p>
    <w:p w14:paraId="52AD0309" w14:textId="77777777" w:rsidR="00323B5A" w:rsidRDefault="00344EA6" w:rsidP="004B747B">
      <w:pPr>
        <w:pStyle w:val="ListParagraph"/>
        <w:numPr>
          <w:ilvl w:val="0"/>
          <w:numId w:val="13"/>
        </w:numPr>
      </w:pPr>
      <w:r>
        <w:t>Flip charts</w:t>
      </w:r>
    </w:p>
    <w:p w14:paraId="525A477C" w14:textId="77777777" w:rsidR="00643D65" w:rsidRDefault="00643D65" w:rsidP="004B747B">
      <w:pPr>
        <w:pStyle w:val="ListParagraph"/>
        <w:numPr>
          <w:ilvl w:val="0"/>
          <w:numId w:val="13"/>
        </w:numPr>
      </w:pPr>
      <w:r>
        <w:t>Draw “tree model” for understanding</w:t>
      </w:r>
      <w:r w:rsidR="00344EA6">
        <w:t xml:space="preserve"> GBV exercise on 3-4 flip chart papers</w:t>
      </w:r>
    </w:p>
    <w:p w14:paraId="6C754A5E" w14:textId="77777777" w:rsidR="00773FD9" w:rsidRDefault="00773FD9" w:rsidP="004B747B">
      <w:pPr>
        <w:pStyle w:val="ListParagraph"/>
        <w:numPr>
          <w:ilvl w:val="0"/>
          <w:numId w:val="13"/>
        </w:numPr>
      </w:pPr>
      <w:r>
        <w:t xml:space="preserve">4 copies of “Cards with Definitions” </w:t>
      </w:r>
    </w:p>
    <w:p w14:paraId="6AB2EEAF" w14:textId="77777777" w:rsidR="00E52BE0" w:rsidRDefault="00E52BE0" w:rsidP="004B747B">
      <w:pPr>
        <w:pStyle w:val="ListParagraph"/>
        <w:numPr>
          <w:ilvl w:val="0"/>
          <w:numId w:val="13"/>
        </w:numPr>
      </w:pPr>
      <w:r>
        <w:t>Markers</w:t>
      </w:r>
    </w:p>
    <w:p w14:paraId="6D7B9733" w14:textId="77777777" w:rsidR="00D57593" w:rsidRPr="00D57593" w:rsidRDefault="00D57593" w:rsidP="00D57593">
      <w:pPr>
        <w:pStyle w:val="Heading1"/>
        <w:keepNext w:val="0"/>
        <w:keepLines w:val="0"/>
        <w:spacing w:before="300" w:afterLines="60" w:after="144" w:line="276" w:lineRule="auto"/>
        <w:rPr>
          <w:rFonts w:ascii="Corbel" w:eastAsia="Times New Roman" w:hAnsi="Corbel" w:cs="Times New Roman"/>
          <w:smallCaps/>
          <w:color w:val="auto"/>
          <w:spacing w:val="5"/>
          <w:lang w:eastAsia="x-none"/>
        </w:rPr>
      </w:pPr>
      <w:r w:rsidRPr="00D57593">
        <w:rPr>
          <w:rFonts w:ascii="Corbel" w:eastAsia="Times New Roman" w:hAnsi="Corbel" w:cs="Times New Roman"/>
          <w:smallCaps/>
          <w:color w:val="auto"/>
          <w:spacing w:val="5"/>
          <w:lang w:eastAsia="x-none"/>
        </w:rPr>
        <w:t>Planning</w:t>
      </w:r>
    </w:p>
    <w:p w14:paraId="39646162" w14:textId="77777777" w:rsidR="00D57593" w:rsidRDefault="00D57593" w:rsidP="00D57593">
      <w:pPr>
        <w:pStyle w:val="ListParagraph"/>
        <w:numPr>
          <w:ilvl w:val="0"/>
          <w:numId w:val="16"/>
        </w:numPr>
      </w:pPr>
      <w:r>
        <w:t>Review and adapt PowerPoint</w:t>
      </w:r>
    </w:p>
    <w:p w14:paraId="5AF8CF22" w14:textId="77777777" w:rsidR="00D57593" w:rsidRDefault="00D57593" w:rsidP="00D57593">
      <w:pPr>
        <w:pStyle w:val="ListParagraph"/>
        <w:numPr>
          <w:ilvl w:val="0"/>
          <w:numId w:val="16"/>
        </w:numPr>
      </w:pPr>
      <w:r>
        <w:t>Make copies of handouts</w:t>
      </w:r>
    </w:p>
    <w:p w14:paraId="162F1FB9" w14:textId="77777777" w:rsidR="008D6193" w:rsidRPr="00DB2B5F" w:rsidRDefault="00A360A5" w:rsidP="00D57593">
      <w:pPr>
        <w:pStyle w:val="Heading5"/>
        <w:rPr>
          <w:rStyle w:val="Strong"/>
        </w:rPr>
      </w:pPr>
      <w:r>
        <w:t>Part 1</w:t>
      </w:r>
    </w:p>
    <w:p w14:paraId="28E0C3EA" w14:textId="77777777" w:rsidR="00E52BE0" w:rsidRDefault="00E52BE0">
      <w:pPr>
        <w:rPr>
          <w:b/>
        </w:rPr>
      </w:pPr>
      <w:r>
        <w:rPr>
          <w:b/>
        </w:rPr>
        <w:t>Slide: “Learning Objectives”</w:t>
      </w:r>
    </w:p>
    <w:p w14:paraId="51C8BB54" w14:textId="77777777" w:rsidR="00E52BE0" w:rsidRPr="00E52BE0" w:rsidRDefault="00E52BE0" w:rsidP="00E52BE0">
      <w:pPr>
        <w:pStyle w:val="ListParagraph"/>
        <w:numPr>
          <w:ilvl w:val="0"/>
          <w:numId w:val="1"/>
        </w:numPr>
        <w:rPr>
          <w:b/>
        </w:rPr>
      </w:pPr>
      <w:r>
        <w:t>Ask participant to read the objectives</w:t>
      </w:r>
    </w:p>
    <w:p w14:paraId="1CC75EC2" w14:textId="77777777" w:rsidR="00A360A5" w:rsidRPr="00D57593" w:rsidRDefault="00D57593" w:rsidP="00D57593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1 – </w:t>
      </w:r>
      <w:r w:rsidR="00A360A5" w:rsidRPr="00D57593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Sex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</w:t>
      </w:r>
      <w:r w:rsidR="00A360A5" w:rsidRPr="00D57593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and Gender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– 20’</w:t>
      </w:r>
    </w:p>
    <w:p w14:paraId="278AF8C4" w14:textId="77777777" w:rsidR="00E52BE0" w:rsidRDefault="00E52BE0" w:rsidP="00E52BE0">
      <w:pPr>
        <w:rPr>
          <w:b/>
        </w:rPr>
      </w:pPr>
      <w:r>
        <w:rPr>
          <w:b/>
        </w:rPr>
        <w:t xml:space="preserve">Slide: </w:t>
      </w:r>
      <w:r w:rsidR="006E10C8">
        <w:rPr>
          <w:b/>
        </w:rPr>
        <w:t>“</w:t>
      </w:r>
      <w:r>
        <w:rPr>
          <w:b/>
        </w:rPr>
        <w:t>Activity</w:t>
      </w:r>
      <w:r w:rsidR="006E10C8">
        <w:rPr>
          <w:b/>
        </w:rPr>
        <w:t>”</w:t>
      </w:r>
      <w:r w:rsidR="00463EEF">
        <w:rPr>
          <w:b/>
        </w:rPr>
        <w:t xml:space="preserve"> </w:t>
      </w:r>
    </w:p>
    <w:p w14:paraId="19764B33" w14:textId="77777777" w:rsidR="00E52BE0" w:rsidRPr="00E52BE0" w:rsidRDefault="00E52BE0" w:rsidP="00E52BE0">
      <w:pPr>
        <w:pStyle w:val="ListParagraph"/>
        <w:numPr>
          <w:ilvl w:val="0"/>
          <w:numId w:val="1"/>
        </w:numPr>
        <w:rPr>
          <w:b/>
        </w:rPr>
      </w:pPr>
      <w:r>
        <w:t>Divide participants into two groups</w:t>
      </w:r>
    </w:p>
    <w:p w14:paraId="6A2FAEC1" w14:textId="77777777" w:rsidR="00E52BE0" w:rsidRPr="006E10C8" w:rsidRDefault="006E10C8" w:rsidP="00E52BE0">
      <w:pPr>
        <w:pStyle w:val="ListParagraph"/>
        <w:numPr>
          <w:ilvl w:val="0"/>
          <w:numId w:val="1"/>
        </w:numPr>
        <w:rPr>
          <w:b/>
        </w:rPr>
      </w:pPr>
      <w:r>
        <w:t>On a flipchart, one team writes traits associated to women, the other group writes traits associated with men</w:t>
      </w:r>
    </w:p>
    <w:p w14:paraId="42500A0A" w14:textId="77777777" w:rsidR="00463EEF" w:rsidRDefault="00463EEF" w:rsidP="00463EEF">
      <w:pPr>
        <w:rPr>
          <w:b/>
        </w:rPr>
      </w:pPr>
      <w:r>
        <w:rPr>
          <w:b/>
        </w:rPr>
        <w:t>Slide: “Sex vs. Gender”</w:t>
      </w:r>
    </w:p>
    <w:p w14:paraId="139DF901" w14:textId="77777777" w:rsidR="00463EEF" w:rsidRPr="00463EEF" w:rsidRDefault="00463EEF" w:rsidP="00463EEF">
      <w:pPr>
        <w:pStyle w:val="ListParagraph"/>
        <w:numPr>
          <w:ilvl w:val="0"/>
          <w:numId w:val="2"/>
        </w:numPr>
        <w:rPr>
          <w:b/>
        </w:rPr>
      </w:pPr>
      <w:r>
        <w:t>Show the difference between Sex and Gender</w:t>
      </w:r>
    </w:p>
    <w:p w14:paraId="2E6646E6" w14:textId="77777777" w:rsidR="00463EEF" w:rsidRPr="00463EEF" w:rsidRDefault="00463EEF" w:rsidP="00463EEF">
      <w:pPr>
        <w:pStyle w:val="ListParagraph"/>
        <w:numPr>
          <w:ilvl w:val="0"/>
          <w:numId w:val="2"/>
        </w:numPr>
        <w:rPr>
          <w:b/>
        </w:rPr>
      </w:pPr>
      <w:r>
        <w:t xml:space="preserve">Return to the flipcharts. Now ask the teams to circle what characteristics are physical (sex). </w:t>
      </w:r>
    </w:p>
    <w:p w14:paraId="24BAAD7D" w14:textId="77777777" w:rsidR="008D6193" w:rsidRPr="00D57593" w:rsidRDefault="00D57593" w:rsidP="00D57593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2 – </w:t>
      </w:r>
      <w:r w:rsidR="008D6193" w:rsidRPr="00D57593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Understanding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</w:t>
      </w:r>
      <w:r w:rsidR="008D6193" w:rsidRPr="00D57593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GBV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Exercise – 45 ’ </w:t>
      </w:r>
    </w:p>
    <w:p w14:paraId="289E5646" w14:textId="77777777" w:rsidR="00463EEF" w:rsidRPr="00773FD9" w:rsidRDefault="00463EEF" w:rsidP="00773FD9">
      <w:pPr>
        <w:pStyle w:val="NoSpacing"/>
        <w:rPr>
          <w:b/>
        </w:rPr>
      </w:pPr>
      <w:r w:rsidRPr="00773FD9">
        <w:rPr>
          <w:b/>
        </w:rPr>
        <w:t>Slide: “GBV = rape, right?”</w:t>
      </w:r>
    </w:p>
    <w:p w14:paraId="5D60884E" w14:textId="77777777" w:rsidR="00463EEF" w:rsidRDefault="00463EEF" w:rsidP="00463EEF">
      <w:pPr>
        <w:pStyle w:val="ListParagraph"/>
        <w:numPr>
          <w:ilvl w:val="0"/>
          <w:numId w:val="3"/>
        </w:numPr>
      </w:pPr>
      <w:r>
        <w:t xml:space="preserve">GBV is many forms, not only rape. </w:t>
      </w:r>
    </w:p>
    <w:p w14:paraId="5B5A001C" w14:textId="77777777" w:rsidR="00463EEF" w:rsidRPr="00773FD9" w:rsidRDefault="00463EEF" w:rsidP="00773FD9">
      <w:pPr>
        <w:pStyle w:val="NoSpacing"/>
        <w:rPr>
          <w:b/>
        </w:rPr>
      </w:pPr>
      <w:r w:rsidRPr="00773FD9">
        <w:rPr>
          <w:b/>
        </w:rPr>
        <w:t>Slide: “Gender-Based Violence (GBV)”</w:t>
      </w:r>
    </w:p>
    <w:p w14:paraId="26C321F7" w14:textId="77777777" w:rsidR="00463EEF" w:rsidRDefault="00463EEF" w:rsidP="00463EEF">
      <w:pPr>
        <w:pStyle w:val="ListParagraph"/>
        <w:numPr>
          <w:ilvl w:val="0"/>
          <w:numId w:val="3"/>
        </w:numPr>
      </w:pPr>
      <w:r>
        <w:t>Ask volunteer to read definition</w:t>
      </w:r>
    </w:p>
    <w:p w14:paraId="26FADADF" w14:textId="77777777" w:rsidR="00463EEF" w:rsidRPr="00773FD9" w:rsidRDefault="00463EEF" w:rsidP="00773FD9">
      <w:pPr>
        <w:pStyle w:val="NoSpacing"/>
        <w:rPr>
          <w:b/>
        </w:rPr>
      </w:pPr>
      <w:r w:rsidRPr="00773FD9">
        <w:rPr>
          <w:b/>
        </w:rPr>
        <w:t>Slide: “Understanding GBV Exercise”</w:t>
      </w:r>
    </w:p>
    <w:p w14:paraId="00AB6433" w14:textId="77777777" w:rsidR="00463EEF" w:rsidRDefault="00463EEF" w:rsidP="00463EEF">
      <w:pPr>
        <w:pStyle w:val="ListParagraph"/>
        <w:numPr>
          <w:ilvl w:val="0"/>
          <w:numId w:val="3"/>
        </w:numPr>
      </w:pPr>
      <w:r>
        <w:t>Divide group into several smaller groups</w:t>
      </w:r>
    </w:p>
    <w:p w14:paraId="4A2F9B12" w14:textId="77777777" w:rsidR="00463EEF" w:rsidRDefault="00643D65" w:rsidP="00463EEF">
      <w:pPr>
        <w:pStyle w:val="ListParagraph"/>
        <w:numPr>
          <w:ilvl w:val="0"/>
          <w:numId w:val="3"/>
        </w:numPr>
      </w:pPr>
      <w:r>
        <w:lastRenderedPageBreak/>
        <w:t>Have “tree model” ready on flip-charts</w:t>
      </w:r>
    </w:p>
    <w:p w14:paraId="1F5CD144" w14:textId="77777777" w:rsidR="00744C48" w:rsidRDefault="00744C48" w:rsidP="00463EEF">
      <w:pPr>
        <w:pStyle w:val="ListParagraph"/>
        <w:numPr>
          <w:ilvl w:val="0"/>
          <w:numId w:val="3"/>
        </w:numPr>
      </w:pPr>
      <w:r>
        <w:t>Show “tree model” slide</w:t>
      </w:r>
    </w:p>
    <w:p w14:paraId="46D4E6D5" w14:textId="77777777" w:rsidR="00463EEF" w:rsidRDefault="00643D65" w:rsidP="00463EEF">
      <w:pPr>
        <w:pStyle w:val="ListParagraph"/>
        <w:numPr>
          <w:ilvl w:val="0"/>
          <w:numId w:val="3"/>
        </w:numPr>
      </w:pPr>
      <w:r>
        <w:t>Groups will</w:t>
      </w:r>
      <w:r w:rsidR="00463EEF">
        <w:t xml:space="preserve"> identify root causes, forms, and consequences of GBV.</w:t>
      </w:r>
    </w:p>
    <w:p w14:paraId="70A85E01" w14:textId="77777777" w:rsidR="00463EEF" w:rsidRDefault="00643D65" w:rsidP="00463EEF">
      <w:pPr>
        <w:pStyle w:val="ListParagraph"/>
        <w:numPr>
          <w:ilvl w:val="0"/>
          <w:numId w:val="3"/>
        </w:numPr>
      </w:pPr>
      <w:r>
        <w:t>Have each of groups present their pictures in plenary</w:t>
      </w:r>
    </w:p>
    <w:p w14:paraId="062B4A66" w14:textId="77777777" w:rsidR="00744C48" w:rsidRDefault="00744C48" w:rsidP="00463EEF">
      <w:pPr>
        <w:pStyle w:val="ListParagraph"/>
        <w:numPr>
          <w:ilvl w:val="0"/>
          <w:numId w:val="3"/>
        </w:numPr>
      </w:pPr>
      <w:r>
        <w:t>Show slides: Root Causes; and Consequences of GBV</w:t>
      </w:r>
    </w:p>
    <w:p w14:paraId="45D1CC3F" w14:textId="77777777" w:rsidR="00DB2B5F" w:rsidRPr="00D57593" w:rsidRDefault="00D57593" w:rsidP="00D57593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3 – </w:t>
      </w:r>
      <w:r w:rsidR="00DB2B5F" w:rsidRPr="00D57593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GBV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</w:t>
      </w:r>
      <w:r w:rsidR="00DB2B5F" w:rsidRPr="00D57593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in Emergencies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– 15’</w:t>
      </w:r>
    </w:p>
    <w:p w14:paraId="1C9578A3" w14:textId="77777777" w:rsidR="00643D65" w:rsidRPr="00773FD9" w:rsidRDefault="00744C48" w:rsidP="00773FD9">
      <w:pPr>
        <w:pStyle w:val="NoSpacing"/>
        <w:rPr>
          <w:b/>
        </w:rPr>
      </w:pPr>
      <w:r w:rsidRPr="00773FD9">
        <w:rPr>
          <w:b/>
        </w:rPr>
        <w:t>Slide: “Why does GBV Occur in Emergencies”</w:t>
      </w:r>
    </w:p>
    <w:p w14:paraId="2D41C056" w14:textId="77777777" w:rsidR="00744C48" w:rsidRPr="00744C48" w:rsidRDefault="00744C48" w:rsidP="00744C48">
      <w:pPr>
        <w:pStyle w:val="ListParagraph"/>
        <w:numPr>
          <w:ilvl w:val="0"/>
          <w:numId w:val="5"/>
        </w:numPr>
      </w:pPr>
      <w:r>
        <w:t>For 3 reasons: those already present before disaster, those as a result from a disaster, and those caused directly or indirectly by humanitarian work</w:t>
      </w:r>
    </w:p>
    <w:p w14:paraId="4E7C62C8" w14:textId="77777777" w:rsidR="00744C48" w:rsidRPr="00773FD9" w:rsidRDefault="00744C48" w:rsidP="00773FD9">
      <w:pPr>
        <w:pStyle w:val="NoSpacing"/>
        <w:rPr>
          <w:b/>
        </w:rPr>
      </w:pPr>
      <w:r w:rsidRPr="00773FD9">
        <w:rPr>
          <w:b/>
        </w:rPr>
        <w:t xml:space="preserve">Slide: “How </w:t>
      </w:r>
      <w:r w:rsidR="008D6193" w:rsidRPr="00773FD9">
        <w:rPr>
          <w:b/>
        </w:rPr>
        <w:t>i</w:t>
      </w:r>
      <w:r w:rsidRPr="00773FD9">
        <w:rPr>
          <w:b/>
        </w:rPr>
        <w:t xml:space="preserve">s GBV </w:t>
      </w:r>
      <w:r w:rsidR="008D6193" w:rsidRPr="00773FD9">
        <w:rPr>
          <w:b/>
        </w:rPr>
        <w:t>Exacerbated i</w:t>
      </w:r>
      <w:r w:rsidRPr="00773FD9">
        <w:rPr>
          <w:b/>
        </w:rPr>
        <w:t>n Emergencies?</w:t>
      </w:r>
    </w:p>
    <w:p w14:paraId="14E66DB2" w14:textId="77777777" w:rsidR="00463EEF" w:rsidRDefault="00744C48" w:rsidP="00744C48">
      <w:pPr>
        <w:pStyle w:val="ListParagraph"/>
        <w:numPr>
          <w:ilvl w:val="0"/>
          <w:numId w:val="5"/>
        </w:numPr>
      </w:pPr>
      <w:r>
        <w:t>Things that can increase risk of GBV in emergencies</w:t>
      </w:r>
    </w:p>
    <w:p w14:paraId="670B13BD" w14:textId="77777777" w:rsidR="00744C48" w:rsidRPr="00773FD9" w:rsidRDefault="008D6193" w:rsidP="00773FD9">
      <w:pPr>
        <w:pStyle w:val="NoSpacing"/>
        <w:rPr>
          <w:b/>
        </w:rPr>
      </w:pPr>
      <w:r w:rsidRPr="00773FD9">
        <w:rPr>
          <w:b/>
        </w:rPr>
        <w:t>Slide: “Can GBV Happen to Men and Boys?”</w:t>
      </w:r>
    </w:p>
    <w:p w14:paraId="2F011DD7" w14:textId="77777777" w:rsidR="00DB2B5F" w:rsidRPr="00F76811" w:rsidRDefault="008D6193" w:rsidP="00F76811">
      <w:pPr>
        <w:pStyle w:val="ListParagraph"/>
        <w:numPr>
          <w:ilvl w:val="0"/>
          <w:numId w:val="5"/>
        </w:numPr>
      </w:pPr>
      <w:r>
        <w:t>Not just a threat to women and girls</w:t>
      </w:r>
    </w:p>
    <w:p w14:paraId="58E29553" w14:textId="77777777" w:rsidR="008D6193" w:rsidRPr="00773FD9" w:rsidRDefault="008D6193" w:rsidP="00773FD9">
      <w:pPr>
        <w:pStyle w:val="NoSpacing"/>
        <w:rPr>
          <w:b/>
        </w:rPr>
      </w:pPr>
      <w:r w:rsidRPr="00773FD9">
        <w:rPr>
          <w:b/>
        </w:rPr>
        <w:t>Slide: “Summary”</w:t>
      </w:r>
      <w:r w:rsidRPr="00773FD9">
        <w:rPr>
          <w:b/>
        </w:rPr>
        <w:tab/>
      </w:r>
    </w:p>
    <w:p w14:paraId="0787714A" w14:textId="77777777" w:rsidR="008D6193" w:rsidRDefault="00A360A5" w:rsidP="008D6193">
      <w:pPr>
        <w:pStyle w:val="ListParagraph"/>
        <w:numPr>
          <w:ilvl w:val="0"/>
          <w:numId w:val="5"/>
        </w:numPr>
      </w:pPr>
      <w:r>
        <w:t>Read aloud the summary points</w:t>
      </w:r>
    </w:p>
    <w:p w14:paraId="7211D914" w14:textId="77777777" w:rsidR="00A360A5" w:rsidRDefault="00A360A5" w:rsidP="00D57593">
      <w:pPr>
        <w:pStyle w:val="Heading5"/>
      </w:pPr>
      <w:r>
        <w:t>Part 2</w:t>
      </w:r>
    </w:p>
    <w:p w14:paraId="31C1D31F" w14:textId="77777777" w:rsidR="00A360A5" w:rsidRPr="00A360A5" w:rsidRDefault="00A360A5" w:rsidP="00A360A5">
      <w:pPr>
        <w:rPr>
          <w:b/>
        </w:rPr>
      </w:pPr>
      <w:r w:rsidRPr="00A360A5">
        <w:rPr>
          <w:b/>
        </w:rPr>
        <w:t>Learning Objectives</w:t>
      </w:r>
    </w:p>
    <w:p w14:paraId="73CD13AA" w14:textId="77777777" w:rsidR="00A360A5" w:rsidRDefault="00A360A5" w:rsidP="00A360A5">
      <w:pPr>
        <w:pStyle w:val="ListParagraph"/>
        <w:numPr>
          <w:ilvl w:val="0"/>
          <w:numId w:val="5"/>
        </w:numPr>
      </w:pPr>
      <w:r>
        <w:t>Ask participant to read objectives</w:t>
      </w:r>
    </w:p>
    <w:p w14:paraId="1D7864EF" w14:textId="77777777" w:rsidR="00A360A5" w:rsidRPr="00D57593" w:rsidRDefault="00F76811" w:rsidP="00D57593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4 – </w:t>
      </w:r>
      <w:r w:rsidR="004101D0" w:rsidRPr="00D57593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Responsibilities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</w:t>
      </w:r>
      <w:r w:rsidR="00773FD9" w:rsidRPr="00D57593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of DTM Enumerators</w:t>
      </w:r>
    </w:p>
    <w:p w14:paraId="2EC4E830" w14:textId="77777777" w:rsidR="00A360A5" w:rsidRPr="00773FD9" w:rsidRDefault="00A360A5" w:rsidP="00773FD9">
      <w:pPr>
        <w:pStyle w:val="NoSpacing"/>
        <w:rPr>
          <w:b/>
        </w:rPr>
      </w:pPr>
      <w:r w:rsidRPr="00773FD9">
        <w:rPr>
          <w:b/>
        </w:rPr>
        <w:t>Slide: Roles and Responsibilities towards GBV</w:t>
      </w:r>
    </w:p>
    <w:p w14:paraId="530C383A" w14:textId="77777777" w:rsidR="00A360A5" w:rsidRDefault="00A360A5" w:rsidP="00A360A5">
      <w:pPr>
        <w:pStyle w:val="ListParagraph"/>
        <w:numPr>
          <w:ilvl w:val="0"/>
          <w:numId w:val="5"/>
        </w:numPr>
      </w:pPr>
      <w:r>
        <w:t>Explain difference between GBV mainstreaming and specialized GBV actors</w:t>
      </w:r>
    </w:p>
    <w:p w14:paraId="16D5EB27" w14:textId="77777777" w:rsidR="00A360A5" w:rsidRPr="00773FD9" w:rsidRDefault="00A360A5" w:rsidP="00773FD9">
      <w:pPr>
        <w:pStyle w:val="NoSpacing"/>
        <w:rPr>
          <w:b/>
        </w:rPr>
      </w:pPr>
      <w:r w:rsidRPr="00773FD9">
        <w:rPr>
          <w:b/>
        </w:rPr>
        <w:t>1</w:t>
      </w:r>
      <w:r w:rsidR="00FF1D0A">
        <w:rPr>
          <w:b/>
        </w:rPr>
        <w:t>)</w:t>
      </w:r>
      <w:r w:rsidRPr="00773FD9">
        <w:rPr>
          <w:b/>
        </w:rPr>
        <w:t xml:space="preserve"> Avoid creating or exacerbating risks of GBV</w:t>
      </w:r>
    </w:p>
    <w:p w14:paraId="27AB0818" w14:textId="77777777" w:rsidR="00A360A5" w:rsidRDefault="00A360A5" w:rsidP="00A360A5">
      <w:pPr>
        <w:pStyle w:val="ListParagraph"/>
        <w:numPr>
          <w:ilvl w:val="0"/>
          <w:numId w:val="5"/>
        </w:numPr>
      </w:pPr>
      <w:r>
        <w:t>Each enumerator is required to sign the Standards of Conduct</w:t>
      </w:r>
    </w:p>
    <w:p w14:paraId="67623AC9" w14:textId="77777777" w:rsidR="00A360A5" w:rsidRDefault="00A360A5" w:rsidP="00A360A5">
      <w:pPr>
        <w:pStyle w:val="ListParagraph"/>
        <w:numPr>
          <w:ilvl w:val="0"/>
          <w:numId w:val="5"/>
        </w:numPr>
      </w:pPr>
      <w:r>
        <w:t>Define PSEA</w:t>
      </w:r>
    </w:p>
    <w:p w14:paraId="3E762875" w14:textId="77777777" w:rsidR="00A360A5" w:rsidRDefault="00A360A5" w:rsidP="00A360A5">
      <w:pPr>
        <w:pStyle w:val="ListParagraph"/>
        <w:numPr>
          <w:ilvl w:val="0"/>
          <w:numId w:val="5"/>
        </w:numPr>
      </w:pPr>
      <w:r>
        <w:t>Explain principle of do no harm</w:t>
      </w:r>
    </w:p>
    <w:p w14:paraId="55FAD882" w14:textId="77777777" w:rsidR="00A360A5" w:rsidRPr="00773FD9" w:rsidRDefault="00FF1D0A" w:rsidP="00773FD9">
      <w:pPr>
        <w:pStyle w:val="NoSpacing"/>
        <w:rPr>
          <w:b/>
        </w:rPr>
      </w:pPr>
      <w:r>
        <w:rPr>
          <w:b/>
        </w:rPr>
        <w:t>2)</w:t>
      </w:r>
      <w:r w:rsidR="00773FD9" w:rsidRPr="00773FD9">
        <w:rPr>
          <w:b/>
        </w:rPr>
        <w:t xml:space="preserve"> Identifying risk factors and trends through the indicators provided</w:t>
      </w:r>
    </w:p>
    <w:p w14:paraId="1350E26C" w14:textId="77777777" w:rsidR="00773FD9" w:rsidRDefault="00773FD9" w:rsidP="00773FD9">
      <w:pPr>
        <w:pStyle w:val="ListParagraph"/>
        <w:numPr>
          <w:ilvl w:val="0"/>
          <w:numId w:val="6"/>
        </w:numPr>
      </w:pPr>
      <w:r>
        <w:t>Make sure to pay attention to things that can influence reported risks of GBV (such as items in the list)</w:t>
      </w:r>
    </w:p>
    <w:p w14:paraId="210B11FE" w14:textId="77777777" w:rsidR="00773FD9" w:rsidRPr="00773FD9" w:rsidRDefault="00773FD9" w:rsidP="00773FD9">
      <w:pPr>
        <w:pStyle w:val="NoSpacing"/>
        <w:rPr>
          <w:b/>
        </w:rPr>
      </w:pPr>
      <w:r w:rsidRPr="00773FD9">
        <w:rPr>
          <w:b/>
        </w:rPr>
        <w:t>The Importance of SADD</w:t>
      </w:r>
    </w:p>
    <w:p w14:paraId="40BDFF10" w14:textId="77777777" w:rsidR="00773FD9" w:rsidRDefault="00773FD9" w:rsidP="00773FD9">
      <w:pPr>
        <w:pStyle w:val="ListParagraph"/>
        <w:numPr>
          <w:ilvl w:val="0"/>
          <w:numId w:val="6"/>
        </w:numPr>
      </w:pPr>
      <w:r>
        <w:t>Define SADD</w:t>
      </w:r>
    </w:p>
    <w:p w14:paraId="53EECEB8" w14:textId="77777777" w:rsidR="00773FD9" w:rsidRDefault="00773FD9" w:rsidP="00773FD9">
      <w:pPr>
        <w:pStyle w:val="ListParagraph"/>
        <w:numPr>
          <w:ilvl w:val="0"/>
          <w:numId w:val="6"/>
        </w:numPr>
      </w:pPr>
      <w:r>
        <w:lastRenderedPageBreak/>
        <w:t>Ask participants why it should be collected. Is it important to humanitarian work? Why?</w:t>
      </w:r>
    </w:p>
    <w:p w14:paraId="0B7D54BE" w14:textId="77777777" w:rsidR="00773FD9" w:rsidRDefault="00773FD9" w:rsidP="00773FD9">
      <w:pPr>
        <w:pStyle w:val="NoSpacing"/>
        <w:rPr>
          <w:b/>
        </w:rPr>
      </w:pPr>
      <w:r w:rsidRPr="00773FD9">
        <w:rPr>
          <w:b/>
        </w:rPr>
        <w:t>Indicators and definitions: The Cards Game</w:t>
      </w:r>
    </w:p>
    <w:p w14:paraId="6228C614" w14:textId="77777777" w:rsidR="00773FD9" w:rsidRDefault="00773FD9" w:rsidP="00773FD9">
      <w:pPr>
        <w:pStyle w:val="ListParagraph"/>
        <w:numPr>
          <w:ilvl w:val="0"/>
          <w:numId w:val="7"/>
        </w:numPr>
      </w:pPr>
      <w:r>
        <w:t>The fastest group to match definitions correctly wins</w:t>
      </w:r>
    </w:p>
    <w:p w14:paraId="5143CAED" w14:textId="77777777" w:rsidR="00FF1D0A" w:rsidRDefault="00FF1D0A" w:rsidP="00FF1D0A">
      <w:pPr>
        <w:pStyle w:val="NoSpacing"/>
        <w:rPr>
          <w:b/>
        </w:rPr>
      </w:pPr>
      <w:r w:rsidRPr="00FF1D0A">
        <w:rPr>
          <w:b/>
        </w:rPr>
        <w:t>Indicators and definitions: The Site Assessment Form</w:t>
      </w:r>
    </w:p>
    <w:p w14:paraId="30CCC1E3" w14:textId="77777777" w:rsidR="00FF1D0A" w:rsidRPr="00FF1D0A" w:rsidRDefault="00FF1D0A" w:rsidP="00FF1D0A">
      <w:pPr>
        <w:pStyle w:val="NoSpacing"/>
        <w:numPr>
          <w:ilvl w:val="0"/>
          <w:numId w:val="7"/>
        </w:numPr>
        <w:rPr>
          <w:b/>
        </w:rPr>
      </w:pPr>
      <w:r>
        <w:t>Divide into groups of 2 persons per group.</w:t>
      </w:r>
    </w:p>
    <w:p w14:paraId="3A36E87F" w14:textId="77777777" w:rsidR="00FF1D0A" w:rsidRPr="00FF1D0A" w:rsidRDefault="00FF1D0A" w:rsidP="00FF1D0A">
      <w:pPr>
        <w:pStyle w:val="NoSpacing"/>
        <w:numPr>
          <w:ilvl w:val="0"/>
          <w:numId w:val="7"/>
        </w:numPr>
        <w:rPr>
          <w:b/>
        </w:rPr>
      </w:pPr>
      <w:r>
        <w:t>Identify indicators that could potentially identify risk factors for GBV</w:t>
      </w:r>
    </w:p>
    <w:p w14:paraId="67823177" w14:textId="77777777" w:rsidR="00FF1D0A" w:rsidRPr="00FF1D0A" w:rsidRDefault="00FF1D0A" w:rsidP="00FF1D0A">
      <w:pPr>
        <w:pStyle w:val="NoSpacing"/>
        <w:numPr>
          <w:ilvl w:val="0"/>
          <w:numId w:val="7"/>
        </w:numPr>
        <w:rPr>
          <w:b/>
        </w:rPr>
      </w:pPr>
      <w:r>
        <w:t>Debrief in Plenary</w:t>
      </w:r>
    </w:p>
    <w:p w14:paraId="08B0A090" w14:textId="77777777" w:rsidR="00FF1D0A" w:rsidRPr="00FF1D0A" w:rsidRDefault="00FF1D0A" w:rsidP="00FF1D0A">
      <w:pPr>
        <w:pStyle w:val="NoSpacing"/>
        <w:rPr>
          <w:b/>
        </w:rPr>
      </w:pPr>
    </w:p>
    <w:p w14:paraId="7B0C713A" w14:textId="77777777" w:rsidR="00773FD9" w:rsidRDefault="00FF1D0A" w:rsidP="00FF1D0A">
      <w:pPr>
        <w:pStyle w:val="NoSpacing"/>
        <w:rPr>
          <w:b/>
        </w:rPr>
      </w:pPr>
      <w:r>
        <w:t>3</w:t>
      </w:r>
      <w:r w:rsidRPr="00FF1D0A">
        <w:rPr>
          <w:b/>
        </w:rPr>
        <w:t>) Responding to a GBV disclosure as a non-GBV specialist</w:t>
      </w:r>
    </w:p>
    <w:p w14:paraId="2760B1C3" w14:textId="77777777" w:rsidR="00FF1D0A" w:rsidRDefault="00341824" w:rsidP="00341824">
      <w:pPr>
        <w:pStyle w:val="ListParagraph"/>
        <w:numPr>
          <w:ilvl w:val="0"/>
          <w:numId w:val="9"/>
        </w:numPr>
      </w:pPr>
      <w:r>
        <w:t>Ask participants to read one by one and repeat in their own words.</w:t>
      </w:r>
    </w:p>
    <w:p w14:paraId="43904AB3" w14:textId="77777777" w:rsidR="00341824" w:rsidRPr="00341824" w:rsidRDefault="00341824" w:rsidP="00341824">
      <w:pPr>
        <w:pStyle w:val="NoSpacing"/>
        <w:rPr>
          <w:b/>
        </w:rPr>
      </w:pPr>
      <w:r w:rsidRPr="00341824">
        <w:rPr>
          <w:b/>
        </w:rPr>
        <w:t>The survivor-centered approach</w:t>
      </w:r>
    </w:p>
    <w:p w14:paraId="118E8C19" w14:textId="77777777" w:rsidR="00341824" w:rsidRDefault="00341824" w:rsidP="00341824">
      <w:pPr>
        <w:pStyle w:val="ListParagraph"/>
        <w:numPr>
          <w:ilvl w:val="0"/>
          <w:numId w:val="9"/>
        </w:numPr>
      </w:pPr>
      <w:r>
        <w:t>Show difference between examples in table</w:t>
      </w:r>
    </w:p>
    <w:p w14:paraId="24A1511B" w14:textId="77777777" w:rsidR="00344EA6" w:rsidRDefault="00344EA6" w:rsidP="00341824">
      <w:pPr>
        <w:pStyle w:val="ListParagraph"/>
        <w:numPr>
          <w:ilvl w:val="0"/>
          <w:numId w:val="9"/>
        </w:numPr>
      </w:pPr>
      <w:r>
        <w:t xml:space="preserve">On next slide </w:t>
      </w:r>
      <w:r w:rsidRPr="00344EA6">
        <w:rPr>
          <w:b/>
        </w:rPr>
        <w:t>A Survivor Centered Approach</w:t>
      </w:r>
      <w:r>
        <w:t>, call on individuals to explain one key principle from the list.</w:t>
      </w:r>
    </w:p>
    <w:p w14:paraId="5BB15139" w14:textId="131D88F5" w:rsidR="00D92820" w:rsidRPr="00D57593" w:rsidRDefault="005B1AD0" w:rsidP="00D57593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5 – </w:t>
      </w:r>
      <w:r w:rsidR="00D92820" w:rsidRPr="00D57593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Referral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</w:t>
      </w:r>
      <w:r w:rsidR="00D92820" w:rsidRPr="00D57593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Pathways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– 10’</w:t>
      </w:r>
    </w:p>
    <w:p w14:paraId="3C85DE6F" w14:textId="77777777" w:rsidR="00344EA6" w:rsidRPr="00D92820" w:rsidRDefault="00344EA6" w:rsidP="00D92820">
      <w:pPr>
        <w:pStyle w:val="NoSpacing"/>
        <w:rPr>
          <w:b/>
        </w:rPr>
      </w:pPr>
      <w:r w:rsidRPr="00D92820">
        <w:rPr>
          <w:b/>
        </w:rPr>
        <w:t>What are Referrals</w:t>
      </w:r>
      <w:r w:rsidR="00D92820" w:rsidRPr="00D92820">
        <w:rPr>
          <w:b/>
        </w:rPr>
        <w:t xml:space="preserve"> / what is a referral pathway?</w:t>
      </w:r>
    </w:p>
    <w:p w14:paraId="76B32349" w14:textId="77777777" w:rsidR="008C4F6F" w:rsidRPr="00D92820" w:rsidRDefault="00D92820" w:rsidP="00D92820">
      <w:pPr>
        <w:pStyle w:val="ListParagraph"/>
        <w:numPr>
          <w:ilvl w:val="0"/>
          <w:numId w:val="10"/>
        </w:numPr>
        <w:rPr>
          <w:b/>
        </w:rPr>
      </w:pPr>
      <w:r>
        <w:t>Define referrals and referral pathways using next 2 slides</w:t>
      </w:r>
    </w:p>
    <w:p w14:paraId="515D94FD" w14:textId="048F88FF" w:rsidR="00D92820" w:rsidRPr="00D92820" w:rsidRDefault="00D92820" w:rsidP="00D92820">
      <w:pPr>
        <w:pStyle w:val="ListParagraph"/>
        <w:numPr>
          <w:ilvl w:val="0"/>
          <w:numId w:val="10"/>
        </w:numPr>
        <w:rPr>
          <w:b/>
        </w:rPr>
      </w:pPr>
      <w:r>
        <w:t xml:space="preserve">Example of Referral Pathway: walk the </w:t>
      </w:r>
      <w:r w:rsidR="00B131C6">
        <w:t>group through the flow</w:t>
      </w:r>
      <w:r w:rsidR="004B747B">
        <w:t>chart in order t</w:t>
      </w:r>
      <w:r>
        <w:t xml:space="preserve">o understand a referral pathway. </w:t>
      </w:r>
    </w:p>
    <w:p w14:paraId="0E29964A" w14:textId="77777777" w:rsidR="00D92820" w:rsidRDefault="00D92820" w:rsidP="00D92820">
      <w:pPr>
        <w:rPr>
          <w:b/>
        </w:rPr>
      </w:pPr>
      <w:r>
        <w:rPr>
          <w:b/>
        </w:rPr>
        <w:t>In your mission / duty station:</w:t>
      </w:r>
    </w:p>
    <w:p w14:paraId="6C774955" w14:textId="77777777" w:rsidR="00D92820" w:rsidRDefault="00D92820" w:rsidP="00D92820">
      <w:pPr>
        <w:pStyle w:val="ListParagraph"/>
        <w:numPr>
          <w:ilvl w:val="0"/>
          <w:numId w:val="11"/>
        </w:numPr>
      </w:pPr>
      <w:r w:rsidRPr="00D92820">
        <w:t>Ask enumerators to give any exampl</w:t>
      </w:r>
      <w:bookmarkStart w:id="0" w:name="_GoBack"/>
      <w:bookmarkEnd w:id="0"/>
      <w:r w:rsidRPr="00D92820">
        <w:t>es they may know of for any referral mechanisms in their communities.</w:t>
      </w:r>
    </w:p>
    <w:p w14:paraId="3745216A" w14:textId="77777777" w:rsidR="004B747B" w:rsidRDefault="004B747B" w:rsidP="00D57593">
      <w:pPr>
        <w:pStyle w:val="Heading5"/>
      </w:pPr>
      <w:r>
        <w:t>Part 3</w:t>
      </w:r>
    </w:p>
    <w:p w14:paraId="721FA9C2" w14:textId="6B49E739" w:rsidR="00D57593" w:rsidRPr="00D57593" w:rsidRDefault="005B1AD0" w:rsidP="00D57593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6 – </w:t>
      </w:r>
      <w:r w:rsidR="00D57593" w:rsidRPr="00D57593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Scenarios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– 15’</w:t>
      </w:r>
    </w:p>
    <w:p w14:paraId="43C077E7" w14:textId="77777777" w:rsidR="004B747B" w:rsidRPr="004B747B" w:rsidRDefault="004B747B" w:rsidP="004B747B">
      <w:pPr>
        <w:pStyle w:val="NoSpacing"/>
        <w:rPr>
          <w:b/>
        </w:rPr>
      </w:pPr>
      <w:r w:rsidRPr="004B747B">
        <w:rPr>
          <w:b/>
        </w:rPr>
        <w:t>Scenario: What should you do?</w:t>
      </w:r>
    </w:p>
    <w:p w14:paraId="49C4BFA5" w14:textId="77777777" w:rsidR="004B747B" w:rsidRDefault="004B747B" w:rsidP="004B747B">
      <w:pPr>
        <w:pStyle w:val="ListParagraph"/>
        <w:numPr>
          <w:ilvl w:val="0"/>
          <w:numId w:val="11"/>
        </w:numPr>
      </w:pPr>
      <w:r>
        <w:t>Ask group to stand</w:t>
      </w:r>
    </w:p>
    <w:p w14:paraId="1BF8F7E8" w14:textId="77777777" w:rsidR="004B747B" w:rsidRDefault="004B747B" w:rsidP="004B747B">
      <w:pPr>
        <w:pStyle w:val="ListParagraph"/>
        <w:numPr>
          <w:ilvl w:val="0"/>
          <w:numId w:val="11"/>
        </w:numPr>
      </w:pPr>
      <w:r>
        <w:t xml:space="preserve">Ask the participants to vote whether the action is appropriate. </w:t>
      </w:r>
    </w:p>
    <w:p w14:paraId="394B4664" w14:textId="77777777" w:rsidR="004B747B" w:rsidRDefault="004B747B" w:rsidP="004B747B">
      <w:pPr>
        <w:pStyle w:val="ListParagraph"/>
        <w:numPr>
          <w:ilvl w:val="0"/>
          <w:numId w:val="11"/>
        </w:numPr>
      </w:pPr>
      <w:r>
        <w:t>If yes, sit down. If now, remain standing</w:t>
      </w:r>
    </w:p>
    <w:p w14:paraId="17D82C45" w14:textId="77777777" w:rsidR="004B747B" w:rsidRDefault="004B747B" w:rsidP="004B747B">
      <w:pPr>
        <w:pStyle w:val="ListParagraph"/>
        <w:numPr>
          <w:ilvl w:val="0"/>
          <w:numId w:val="11"/>
        </w:numPr>
      </w:pPr>
      <w:r>
        <w:t>Go through all questions/scenarios and debrief after</w:t>
      </w:r>
    </w:p>
    <w:p w14:paraId="5B27008C" w14:textId="77777777" w:rsidR="004B747B" w:rsidRPr="004B747B" w:rsidRDefault="004B747B" w:rsidP="004B747B">
      <w:pPr>
        <w:pStyle w:val="NoSpacing"/>
        <w:rPr>
          <w:b/>
        </w:rPr>
      </w:pPr>
      <w:r w:rsidRPr="004B747B">
        <w:rPr>
          <w:b/>
        </w:rPr>
        <w:t>Key Messages</w:t>
      </w:r>
    </w:p>
    <w:p w14:paraId="024CDE85" w14:textId="77777777" w:rsidR="004B747B" w:rsidRDefault="004B747B" w:rsidP="004B747B">
      <w:pPr>
        <w:pStyle w:val="ListParagraph"/>
        <w:numPr>
          <w:ilvl w:val="0"/>
          <w:numId w:val="12"/>
        </w:numPr>
      </w:pPr>
      <w:r>
        <w:t>Ask one participant to read the key messages</w:t>
      </w:r>
    </w:p>
    <w:p w14:paraId="5A0137C2" w14:textId="77777777" w:rsidR="004B747B" w:rsidRPr="004B747B" w:rsidRDefault="004B747B" w:rsidP="004B747B">
      <w:pPr>
        <w:pStyle w:val="ListParagraph"/>
        <w:numPr>
          <w:ilvl w:val="0"/>
          <w:numId w:val="12"/>
        </w:numPr>
      </w:pPr>
      <w:r>
        <w:t>Answer any questions or comments</w:t>
      </w:r>
    </w:p>
    <w:sectPr w:rsidR="004B747B" w:rsidRPr="004B747B" w:rsidSect="00323B5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41460" w14:textId="77777777" w:rsidR="00C1246E" w:rsidRDefault="00C1246E" w:rsidP="00323B5A">
      <w:pPr>
        <w:spacing w:after="0" w:line="240" w:lineRule="auto"/>
      </w:pPr>
      <w:r>
        <w:separator/>
      </w:r>
    </w:p>
  </w:endnote>
  <w:endnote w:type="continuationSeparator" w:id="0">
    <w:p w14:paraId="3FCF173E" w14:textId="77777777" w:rsidR="00C1246E" w:rsidRDefault="00C1246E" w:rsidP="0032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BE943" w14:textId="77777777" w:rsidR="00C1246E" w:rsidRDefault="00C1246E" w:rsidP="00323B5A">
      <w:pPr>
        <w:spacing w:after="0" w:line="240" w:lineRule="auto"/>
      </w:pPr>
      <w:r>
        <w:separator/>
      </w:r>
    </w:p>
  </w:footnote>
  <w:footnote w:type="continuationSeparator" w:id="0">
    <w:p w14:paraId="61467E7C" w14:textId="77777777" w:rsidR="00C1246E" w:rsidRDefault="00C1246E" w:rsidP="0032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EFD6" w14:textId="77777777" w:rsidR="00323B5A" w:rsidRPr="00625C44" w:rsidRDefault="00323B5A" w:rsidP="00323B5A">
    <w:pPr>
      <w:pStyle w:val="Heading5"/>
      <w:rPr>
        <w:lang w:val="en-US"/>
      </w:rPr>
    </w:pPr>
    <w:r>
      <w:rPr>
        <w:lang w:val="en-US"/>
      </w:rPr>
      <w:t>Optional Module 1: GBV</w:t>
    </w:r>
  </w:p>
  <w:p w14:paraId="7B41CF83" w14:textId="77777777" w:rsidR="00323B5A" w:rsidRPr="00E851B6" w:rsidRDefault="005B1AD0" w:rsidP="00323B5A">
    <w:pPr>
      <w:pStyle w:val="Heading5"/>
    </w:pPr>
    <w:r>
      <w:pict w14:anchorId="3A013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4677_"/>
        </v:shape>
      </w:pict>
    </w:r>
  </w:p>
  <w:p w14:paraId="26C2CE93" w14:textId="77777777" w:rsidR="00323B5A" w:rsidRDefault="00323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82A57" w14:textId="77777777" w:rsidR="00323B5A" w:rsidRPr="00625C44" w:rsidRDefault="00323B5A" w:rsidP="00323B5A">
    <w:pPr>
      <w:pStyle w:val="Heading5"/>
      <w:rPr>
        <w:lang w:val="en-US"/>
      </w:rPr>
    </w:pPr>
    <w:r>
      <w:rPr>
        <w:lang w:val="en-US"/>
      </w:rPr>
      <w:t>Optional Module 1: GBV</w:t>
    </w:r>
  </w:p>
  <w:p w14:paraId="23CCFABD" w14:textId="77777777" w:rsidR="00323B5A" w:rsidRPr="00E851B6" w:rsidRDefault="005B1AD0" w:rsidP="00323B5A">
    <w:pPr>
      <w:pStyle w:val="Heading5"/>
    </w:pPr>
    <w:r>
      <w:pict w14:anchorId="5B925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4677_"/>
        </v:shape>
      </w:pict>
    </w:r>
  </w:p>
  <w:p w14:paraId="09BBE1CE" w14:textId="77777777" w:rsidR="00323B5A" w:rsidRDefault="00323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73E1"/>
    <w:multiLevelType w:val="hybridMultilevel"/>
    <w:tmpl w:val="86FA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E30"/>
    <w:multiLevelType w:val="hybridMultilevel"/>
    <w:tmpl w:val="216E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11575"/>
    <w:multiLevelType w:val="hybridMultilevel"/>
    <w:tmpl w:val="BEEC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18FE"/>
    <w:multiLevelType w:val="hybridMultilevel"/>
    <w:tmpl w:val="0390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1CB5"/>
    <w:multiLevelType w:val="hybridMultilevel"/>
    <w:tmpl w:val="02C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34DB9"/>
    <w:multiLevelType w:val="hybridMultilevel"/>
    <w:tmpl w:val="2B4A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44F2C"/>
    <w:multiLevelType w:val="hybridMultilevel"/>
    <w:tmpl w:val="14F4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F279C"/>
    <w:multiLevelType w:val="hybridMultilevel"/>
    <w:tmpl w:val="AC3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2DE8"/>
    <w:multiLevelType w:val="hybridMultilevel"/>
    <w:tmpl w:val="821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E76FB"/>
    <w:multiLevelType w:val="hybridMultilevel"/>
    <w:tmpl w:val="112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5289"/>
    <w:multiLevelType w:val="hybridMultilevel"/>
    <w:tmpl w:val="BE16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54B2A"/>
    <w:multiLevelType w:val="hybridMultilevel"/>
    <w:tmpl w:val="0FE4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1DF"/>
    <w:multiLevelType w:val="hybridMultilevel"/>
    <w:tmpl w:val="3580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C26A9"/>
    <w:multiLevelType w:val="hybridMultilevel"/>
    <w:tmpl w:val="ACDE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26B37"/>
    <w:multiLevelType w:val="hybridMultilevel"/>
    <w:tmpl w:val="CBDC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D5436"/>
    <w:multiLevelType w:val="hybridMultilevel"/>
    <w:tmpl w:val="BD8E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5A"/>
    <w:rsid w:val="00150CED"/>
    <w:rsid w:val="00323B5A"/>
    <w:rsid w:val="00341824"/>
    <w:rsid w:val="00344EA6"/>
    <w:rsid w:val="004101D0"/>
    <w:rsid w:val="00463EEF"/>
    <w:rsid w:val="00464922"/>
    <w:rsid w:val="004B747B"/>
    <w:rsid w:val="005B1AD0"/>
    <w:rsid w:val="00643D65"/>
    <w:rsid w:val="006E10C8"/>
    <w:rsid w:val="006F1E6C"/>
    <w:rsid w:val="00744C48"/>
    <w:rsid w:val="00773FD9"/>
    <w:rsid w:val="008C4F6F"/>
    <w:rsid w:val="008D6193"/>
    <w:rsid w:val="00A360A5"/>
    <w:rsid w:val="00B131C6"/>
    <w:rsid w:val="00B3225C"/>
    <w:rsid w:val="00C1246E"/>
    <w:rsid w:val="00C42C53"/>
    <w:rsid w:val="00D57593"/>
    <w:rsid w:val="00D92820"/>
    <w:rsid w:val="00DB2B5F"/>
    <w:rsid w:val="00E273A7"/>
    <w:rsid w:val="00E52BE0"/>
    <w:rsid w:val="00F76811"/>
    <w:rsid w:val="00F83E57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726B6796"/>
  <w15:chartTrackingRefBased/>
  <w15:docId w15:val="{344D8A72-DBA9-46BF-A66F-975F281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-CCCM"/>
    <w:basedOn w:val="Normal"/>
    <w:next w:val="Normal"/>
    <w:link w:val="Heading1Char"/>
    <w:uiPriority w:val="99"/>
    <w:qFormat/>
    <w:rsid w:val="00323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ing 2-CCCM"/>
    <w:basedOn w:val="Normal"/>
    <w:next w:val="Normal"/>
    <w:link w:val="Heading2Char"/>
    <w:uiPriority w:val="99"/>
    <w:unhideWhenUsed/>
    <w:qFormat/>
    <w:rsid w:val="00D57593"/>
    <w:pPr>
      <w:keepNext/>
      <w:keepLines/>
      <w:spacing w:before="40" w:after="0"/>
      <w:outlineLvl w:val="1"/>
    </w:pPr>
    <w:rPr>
      <w:rFonts w:ascii="Corbel" w:eastAsiaTheme="majorEastAsia" w:hAnsi="Corbel" w:cstheme="majorBidi"/>
      <w:color w:val="000000" w:themeColor="text1"/>
      <w:sz w:val="32"/>
      <w:szCs w:val="26"/>
    </w:rPr>
  </w:style>
  <w:style w:type="paragraph" w:styleId="Heading5">
    <w:name w:val="heading 5"/>
    <w:aliases w:val="Title-CCCM"/>
    <w:basedOn w:val="Heading1"/>
    <w:next w:val="Normal"/>
    <w:link w:val="Heading5Char"/>
    <w:uiPriority w:val="99"/>
    <w:qFormat/>
    <w:rsid w:val="00323B5A"/>
    <w:pPr>
      <w:keepNext w:val="0"/>
      <w:keepLines w:val="0"/>
      <w:spacing w:before="0" w:afterLines="60" w:after="144" w:line="276" w:lineRule="auto"/>
      <w:outlineLvl w:val="4"/>
    </w:pPr>
    <w:rPr>
      <w:rFonts w:ascii="Corbel" w:eastAsia="Times New Roman" w:hAnsi="Corbel" w:cs="Times New Roman"/>
      <w:smallCaps/>
      <w:color w:val="auto"/>
      <w:spacing w:val="5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1E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033A0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E6C"/>
    <w:rPr>
      <w:rFonts w:asciiTheme="majorHAnsi" w:eastAsiaTheme="majorEastAsia" w:hAnsiTheme="majorHAnsi" w:cstheme="majorBidi"/>
      <w:color w:val="0033A0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32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5A"/>
  </w:style>
  <w:style w:type="paragraph" w:styleId="Footer">
    <w:name w:val="footer"/>
    <w:basedOn w:val="Normal"/>
    <w:link w:val="FooterChar"/>
    <w:uiPriority w:val="99"/>
    <w:unhideWhenUsed/>
    <w:rsid w:val="0032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5A"/>
  </w:style>
  <w:style w:type="character" w:customStyle="1" w:styleId="Heading5Char">
    <w:name w:val="Heading 5 Char"/>
    <w:aliases w:val="Title-CCCM Char"/>
    <w:basedOn w:val="DefaultParagraphFont"/>
    <w:link w:val="Heading5"/>
    <w:uiPriority w:val="99"/>
    <w:rsid w:val="00323B5A"/>
    <w:rPr>
      <w:rFonts w:ascii="Corbel" w:eastAsia="Times New Roman" w:hAnsi="Corbel" w:cs="Times New Roman"/>
      <w:smallCaps/>
      <w:spacing w:val="5"/>
      <w:sz w:val="48"/>
      <w:szCs w:val="48"/>
      <w:lang w:val="x-none" w:eastAsia="x-none"/>
    </w:rPr>
  </w:style>
  <w:style w:type="character" w:customStyle="1" w:styleId="Heading1Char">
    <w:name w:val="Heading 1 Char"/>
    <w:aliases w:val="Heading 1-CCCM Char"/>
    <w:basedOn w:val="DefaultParagraphFont"/>
    <w:link w:val="Heading1"/>
    <w:uiPriority w:val="99"/>
    <w:rsid w:val="00323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eading 2-CCCM Char"/>
    <w:basedOn w:val="DefaultParagraphFont"/>
    <w:link w:val="Heading2"/>
    <w:uiPriority w:val="99"/>
    <w:rsid w:val="00D57593"/>
    <w:rPr>
      <w:rFonts w:ascii="Corbel" w:eastAsiaTheme="majorEastAsia" w:hAnsi="Corbel" w:cstheme="majorBidi"/>
      <w:color w:val="000000" w:themeColor="text1"/>
      <w:sz w:val="32"/>
      <w:szCs w:val="26"/>
    </w:rPr>
  </w:style>
  <w:style w:type="paragraph" w:styleId="NoSpacing">
    <w:name w:val="No Spacing"/>
    <w:uiPriority w:val="1"/>
    <w:qFormat/>
    <w:rsid w:val="00323B5A"/>
    <w:pPr>
      <w:spacing w:after="0" w:line="240" w:lineRule="auto"/>
    </w:pPr>
  </w:style>
  <w:style w:type="character" w:styleId="IntenseEmphasis">
    <w:name w:val="Intense Emphasis"/>
    <w:aliases w:val="Table text-CCCM"/>
    <w:uiPriority w:val="21"/>
    <w:qFormat/>
    <w:rsid w:val="00E273A7"/>
  </w:style>
  <w:style w:type="paragraph" w:styleId="ListParagraph">
    <w:name w:val="List Paragraph"/>
    <w:basedOn w:val="Normal"/>
    <w:uiPriority w:val="34"/>
    <w:qFormat/>
    <w:rsid w:val="00E52BE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19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193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B2B5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B2B5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2B5F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44E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5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vguidelines.org/wp/wp-content/uploads/2016/10/2015_IASC_Gender-based_Violence_Guidelines_full-r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 Garrett</dc:creator>
  <cp:keywords/>
  <dc:description/>
  <cp:lastModifiedBy>FLINT Garrett</cp:lastModifiedBy>
  <cp:revision>12</cp:revision>
  <dcterms:created xsi:type="dcterms:W3CDTF">2018-06-28T09:50:00Z</dcterms:created>
  <dcterms:modified xsi:type="dcterms:W3CDTF">2018-07-02T12:00:00Z</dcterms:modified>
</cp:coreProperties>
</file>